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20BD7D16">
      <w:pPr>
        <w:pStyle w:val="701"/>
        <w:spacing/>
        <w:ind/>
        <w:jc w:val="left"/>
        <w:rPr>
          <w:rFonts w:hint="eastAsia" w:ascii="宋体" w:hAnsi="宋体"/>
          <w:color w:val="000000"/>
          <w:szCs w:val="21"/>
          <w:lang w:val="en-GB"/>
        </w:rPr>
      </w:pPr>
      <w:r>
        <w:rPr>
          <w:rFonts w:hint="eastAsia" w:ascii="宋体" w:hAnsi="宋体"/>
          <w:u w:val="single"/>
        </w:rPr>
        <w:t xml:space="preserve">带有双头刹车功能的电缆放线盘的研发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 xml:space="preserve">科研经费使用信息公开一览表</w:t>
      </w:r>
      <w:r>
        <w:rPr>
          <w:rFonts w:ascii="方正小标宋简体" w:hAnsi="华文中宋" w:eastAsia="方正小标宋简体"/>
          <w:bCs/>
          <w:sz w:val="30"/>
          <w:szCs w:val="30"/>
        </w:rPr>
      </w:r>
      <w:r>
        <w:rPr>
          <w:rFonts w:hint="eastAsia" w:ascii="宋体" w:hAnsi="宋体"/>
          <w:color w:val="000000"/>
          <w:szCs w:val="21"/>
          <w:lang w:val="en-GB"/>
        </w:rPr>
      </w:r>
      <w:r>
        <w:rPr>
          <w:rFonts w:hint="eastAsia" w:ascii="仿宋_GB2312" w:hAnsi="华文中宋"/>
          <w:bCs/>
          <w:color w:val="ff0000"/>
          <w:sz w:val="22"/>
          <w:u w:val="single"/>
        </w:rPr>
      </w:r>
      <w:r>
        <w:rPr>
          <w:rFonts w:ascii="仿宋_GB2312" w:hAnsi="华文中宋"/>
          <w:bCs/>
          <w:color w:val="ff0000"/>
          <w:sz w:val="22"/>
          <w:u w:val="single"/>
        </w:rPr>
      </w:r>
      <w:r>
        <w:rPr>
          <w:rFonts w:hint="eastAsia" w:ascii="宋体" w:hAnsi="宋体"/>
          <w:color w:val="000000"/>
          <w:szCs w:val="21"/>
          <w:lang w:val="en-GB"/>
        </w:rPr>
      </w:r>
    </w:p>
    <w:p>
      <w:pPr>
        <w:spacing w:line="520" w:lineRule="exact"/>
        <w:ind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 xml:space="preserve"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</w:t>
      </w:r>
      <w:r>
        <w:rPr>
          <w:rFonts w:hint="eastAsia" w:ascii="仿宋_GB2312" w:hAnsi="华文中宋"/>
          <w:bCs/>
          <w:sz w:val="24"/>
          <w:u w:val="single"/>
        </w:rPr>
        <w:t xml:space="preserve">孔</w:t>
      </w:r>
      <w:r>
        <w:rPr>
          <w:rFonts w:hint="eastAsia" w:ascii="仿宋_GB2312" w:hAnsi="华文中宋"/>
          <w:bCs/>
          <w:sz w:val="24"/>
          <w:u w:val="single"/>
        </w:rPr>
        <w:t xml:space="preserve">祥</w:t>
      </w:r>
      <w:r>
        <w:rPr>
          <w:rFonts w:hint="eastAsia" w:ascii="仿宋_GB2312" w:hAnsi="华文中宋"/>
          <w:bCs/>
          <w:sz w:val="24"/>
          <w:u w:val="single"/>
        </w:rPr>
        <w:t xml:space="preserve">阳</w:t>
      </w:r>
      <w:r>
        <w:rPr>
          <w:rFonts w:hint="eastAsia" w:ascii="仿宋_GB2312" w:hAnsi="华文中宋"/>
          <w:bCs/>
          <w:sz w:val="24"/>
          <w:u w:val="single"/>
        </w:rPr>
        <w:t xml:space="preserve"> </w:t>
      </w:r>
      <w:r>
        <w:rPr>
          <w:rFonts w:hint="eastAsia" w:ascii="仿宋_GB2312" w:hAnsi="华文中宋"/>
          <w:bCs/>
          <w:sz w:val="24"/>
        </w:rPr>
        <w:t xml:space="preserve">               填表日期：</w:t>
      </w:r>
      <w:r>
        <w:rPr>
          <w:rFonts w:hint="eastAsia" w:ascii="仿宋_GB2312" w:hAnsi="华文中宋"/>
          <w:bCs/>
          <w:sz w:val="24"/>
          <w:lang w:val="zh-CN"/>
        </w:rPr>
        <w:t xml:space="preserve">2026</w:t>
      </w:r>
      <w:r>
        <w:rPr>
          <w:rFonts w:hint="eastAsia" w:ascii="仿宋_GB2312" w:hAnsi="华文中宋"/>
          <w:bCs/>
          <w:sz w:val="24"/>
        </w:rPr>
        <w:t xml:space="preserve"> 年</w:t>
      </w:r>
      <w:r>
        <w:rPr>
          <w:rFonts w:hint="eastAsia" w:ascii="仿宋_GB2312" w:hAnsi="华文中宋"/>
          <w:bCs/>
          <w:sz w:val="24"/>
          <w:lang w:val="zh-CN"/>
        </w:rPr>
        <w:t xml:space="preserve">10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</w:t>
      </w:r>
      <w:bookmarkStart w:id="0" w:name="_GoBack"/>
      <w:r/>
      <w:bookmarkEnd w:id="0"/>
      <w:r>
        <w:rPr>
          <w:rFonts w:hint="eastAsia" w:ascii="仿宋_GB2312" w:hAnsi="华文中宋"/>
          <w:bCs/>
          <w:sz w:val="24"/>
        </w:rPr>
        <w:t xml:space="preserve">月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</w:t>
      </w:r>
      <w:r>
        <w:rPr>
          <w:rFonts w:hint="eastAsia" w:ascii="仿宋_GB2312" w:hAnsi="华文中宋"/>
          <w:bCs/>
          <w:sz w:val="24"/>
          <w:lang w:val="zh-CN"/>
        </w:rPr>
        <w:t xml:space="preserve">20</w:t>
      </w:r>
      <w:r>
        <w:rPr>
          <w:rFonts w:hint="eastAsia" w:ascii="仿宋_GB2312" w:hAnsi="华文中宋"/>
          <w:bCs/>
          <w:sz w:val="24"/>
        </w:rPr>
        <w:t xml:space="preserve">日</w:t>
      </w:r>
      <w:r>
        <w:rPr>
          <w:rFonts w:ascii="仿宋_GB2312" w:hAnsi="华文中宋"/>
          <w:bCs/>
          <w:sz w:val="24"/>
        </w:rPr>
      </w:r>
    </w:p>
    <w:tbl>
      <w:tblPr>
        <w:tblStyle w:val="703"/>
        <w:jc w:val="center"/>
        <w:tblW w:w="10114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Look w:val="04A0" w:firstRow="1" w:lastRow="0" w:firstColumn="1" w:lastColumn="0" w:noHBand="0" w:noVBand="1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>
        <w:trPr>
          <w:cantSplit/>
          <w:jc w:val="center"/>
          <w:trHeight w:val="43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restart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立项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信息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项目名称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05" w:type="dxa"/>
            <w:vAlign w:val="center"/>
          </w:tcPr>
          <w:p w14:paraId="6F90356F">
            <w:pPr>
              <w:spacing w:line="240" w:lineRule="exact"/>
              <w:ind/>
              <w:jc w:val="center"/>
              <w:rPr>
                <w:rFonts w:hint="eastAsia" w:ascii="宋体" w:hAnsi="宋体" w:eastAsia="宋体"/>
                <w:sz w:val="21"/>
                <w:szCs w:val="21"/>
                <w14:ligatures w14:val="none"/>
              </w:rPr>
            </w:pPr>
            <w:r>
              <w:rPr>
                <w:rFonts w:hint="eastAsia" w:ascii="宋体" w:hAnsi="宋体"/>
                <w:sz w:val="24"/>
                <w:szCs w:val="24"/>
                <w:lang w:val="zh-CN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带有双头刹车功能的电缆放线盘的研发</w:t>
            </w:r>
            <w:r>
              <w:rPr>
                <w:rFonts w:hint="eastAsia" w:ascii="宋体" w:hAnsi="宋体" w:eastAsia="宋体"/>
                <w:sz w:val="21"/>
                <w:szCs w:val="21"/>
              </w:rPr>
            </w:r>
            <w:r>
              <w:rPr>
                <w:rFonts w:hint="eastAsia"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9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立项部门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74" w:type="dxa"/>
            <w:vAlign w:val="center"/>
          </w:tcPr>
          <w:p w14:paraId="0C11B786">
            <w:pPr>
              <w:spacing w:line="240" w:lineRule="exact"/>
              <w:ind/>
              <w:jc w:val="center"/>
              <w:rPr>
                <w:rFonts w:hint="eastAsia" w:ascii="宋体" w:hAnsi="宋体" w:eastAsia="宋体"/>
                <w:sz w:val="21"/>
                <w:szCs w:val="21"/>
                <w14:ligatures w14:val="none"/>
              </w:rPr>
            </w:pPr>
            <w:r/>
            <w:bookmarkStart w:id="0" w:name="a3"/>
            <w:r>
              <w:rPr>
                <w:rFonts w:hint="eastAsia" w:ascii="宋体" w:hAnsi="宋体" w:eastAsia="宋体"/>
                <w:sz w:val="21"/>
                <w:szCs w:val="21"/>
              </w:rPr>
              <w:t xml:space="preserve">宁波意缆可电器有限公司</w:t>
            </w:r>
            <w:bookmarkEnd w:id="0"/>
            <w:r>
              <w:rPr>
                <w:rFonts w:hint="eastAsia" w:ascii="宋体" w:hAnsi="宋体" w:eastAsia="宋体"/>
                <w:sz w:val="21"/>
                <w:szCs w:val="21"/>
              </w:rPr>
            </w:r>
            <w:r>
              <w:rPr>
                <w:rFonts w:hint="eastAsia"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</w:tcPr>
          <w:p>
            <w:pPr>
              <w:tabs>
                <w:tab w:val="left" w:leader="none" w:pos="5940"/>
              </w:tabs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立项文号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71" w:type="dxa"/>
            <w:vAlign w:val="center"/>
          </w:tcPr>
          <w:p>
            <w:pPr>
              <w:tabs>
                <w:tab w:val="left" w:leader="none" w:pos="5940"/>
              </w:tabs>
              <w:spacing w:line="240" w:lineRule="exact"/>
              <w:ind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ascii="宋体" w:hAnsi="宋体" w:eastAsia="宋体"/>
                <w:color w:val="ff0000"/>
                <w:sz w:val="21"/>
                <w:szCs w:val="21"/>
              </w:rPr>
            </w:r>
            <w:r>
              <w:rPr>
                <w:rFonts w:ascii="宋体" w:hAnsi="宋体" w:eastAsia="宋体"/>
                <w:color w:val="ff0000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2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实施期限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05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2024</w:t>
            </w: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年04</w:t>
            </w: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月01</w:t>
            </w: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日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至</w:t>
            </w: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2025</w:t>
            </w: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年11</w:t>
            </w: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月28</w:t>
            </w: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日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2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协作单位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05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27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  <w:vMerge w:val="restart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项目负责人及课题组成员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5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姓名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07" w:type="dxa"/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职称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95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工作单位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承担任务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27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5" w:type="dxa"/>
            <w:vAlign w:val="center"/>
          </w:tcPr>
          <w:p w14:paraId="686BA0CD"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孔祥阳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</w:r>
            <w:r>
              <w:rPr>
                <w:rFonts w:ascii="宋体" w:hAnsi="宋体" w:eastAsia="宋体"/>
                <w:color w:val="ff0000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07" w:type="dxa"/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 xml:space="preserve">讲师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95" w:type="dxa"/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 xml:space="preserve">浙江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工商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职业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技术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学院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 xml:space="preserve">技术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顾问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，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统筹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27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5" w:type="dxa"/>
            <w:vAlign w:val="center"/>
          </w:tcPr>
          <w:p w14:paraId="45352E3A">
            <w:pPr>
              <w:spacing w:line="240" w:lineRule="exact"/>
              <w:ind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07" w:type="dxa"/>
            <w:vAlign w:val="center"/>
          </w:tcPr>
          <w:p w14:paraId="32A34A61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95" w:type="dxa"/>
            <w:vAlign w:val="center"/>
          </w:tcPr>
          <w:p w14:paraId="069BB178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28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5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</w:r>
            <w:r>
              <w:rPr>
                <w:rFonts w:ascii="宋体" w:hAnsi="宋体" w:eastAsia="宋体"/>
                <w:color w:val="ff0000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07" w:type="dxa"/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95" w:type="dxa"/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28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5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</w:r>
            <w:r>
              <w:rPr>
                <w:rFonts w:ascii="宋体" w:hAnsi="宋体" w:eastAsia="宋体"/>
                <w:color w:val="ff0000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07" w:type="dxa"/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95" w:type="dxa"/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5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经费总额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5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0</w:t>
            </w: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.5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07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其中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拨款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9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其他经费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来源及金额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</w:r>
            <w:r>
              <w:rPr>
                <w:rFonts w:ascii="宋体" w:hAnsi="宋体" w:eastAsia="宋体"/>
                <w:color w:val="ff0000"/>
                <w:sz w:val="21"/>
                <w:szCs w:val="21"/>
              </w:rPr>
            </w:r>
          </w:p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0.5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  <w:vMerge w:val="restart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经费预算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2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设备购置费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9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材料费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2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2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测试化验加工费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9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燃料动力费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0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2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差旅费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9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会议费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29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2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合作协作研究与交流费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9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劳务费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0.24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26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2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出版/文献/信息传播/知识产权事务费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9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专家咨询费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0.23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1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2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管理费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9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绩效支出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4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restart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过程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信息</w:t>
            </w:r>
            <w:r>
              <w:rPr>
                <w:rFonts w:ascii="宋体" w:hAnsi="宋体" w:eastAsia="宋体"/>
                <w:color w:val="ff0000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经费到位情况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01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已拨入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01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0.5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9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未拨入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万元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1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实际经费使用总额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7" w:type="dxa"/>
            <w:vAlign w:val="center"/>
          </w:tcPr>
          <w:p>
            <w:pPr>
              <w:spacing w:line="240" w:lineRule="exact"/>
              <w:ind w:firstLine="0"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0.5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40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 w:firstLine="21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阶段性成果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05" w:type="dxa"/>
            <w:vAlign w:val="center"/>
          </w:tcPr>
          <w:p>
            <w:pPr>
              <w:spacing w:line="240" w:lineRule="exact"/>
              <w:ind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6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84" w:type="dxa"/>
            <w:vAlign w:val="center"/>
            <w:vMerge w:val="restart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预算支出情况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设备费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7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材料费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2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测试化验加工费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7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燃料动力费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2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差旅费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7" w:type="dxa"/>
            <w:vAlign w:val="center"/>
          </w:tcPr>
          <w:p>
            <w:pPr>
              <w:tabs>
                <w:tab w:val="left" w:leader="none" w:pos="750"/>
              </w:tabs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会议费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2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合作协作研究与交流费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7" w:type="dxa"/>
            <w:vAlign w:val="center"/>
          </w:tcPr>
          <w:p>
            <w:pPr>
              <w:tabs>
                <w:tab w:val="left" w:leader="none" w:pos="750"/>
              </w:tabs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劳务费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 w14:paraId="53B8FDF6"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0.24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2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出版/文献/信息传播/知识产权事务费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7" w:type="dxa"/>
            <w:vAlign w:val="center"/>
          </w:tcPr>
          <w:p>
            <w:pPr>
              <w:tabs>
                <w:tab w:val="left" w:leader="none" w:pos="750"/>
              </w:tabs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专家咨询费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 w14:paraId="51BA4D60"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0.23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4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管理费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7" w:type="dxa"/>
            <w:vAlign w:val="center"/>
          </w:tcPr>
          <w:p>
            <w:pPr>
              <w:tabs>
                <w:tab w:val="left" w:leader="none" w:pos="780"/>
                <w:tab w:val="center" w:leader="none" w:pos="2437"/>
              </w:tabs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tabs>
                <w:tab w:val="left" w:leader="none" w:pos="780"/>
                <w:tab w:val="center" w:leader="none" w:pos="2437"/>
              </w:tabs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绩效支出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tabs>
                <w:tab w:val="left" w:leader="none" w:pos="780"/>
                <w:tab w:val="center" w:leader="none" w:pos="2437"/>
              </w:tabs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4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外协费拨出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7" w:type="dxa"/>
            <w:vAlign w:val="center"/>
          </w:tcPr>
          <w:p>
            <w:pPr>
              <w:tabs>
                <w:tab w:val="left" w:leader="none" w:pos="780"/>
                <w:tab w:val="center" w:leader="none" w:pos="2437"/>
              </w:tabs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tabs>
                <w:tab w:val="left" w:leader="none" w:pos="780"/>
                <w:tab w:val="center" w:leader="none" w:pos="2437"/>
              </w:tabs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tabs>
                <w:tab w:val="left" w:leader="none" w:pos="780"/>
                <w:tab w:val="center" w:leader="none" w:pos="2437"/>
              </w:tabs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28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大额设备和材料名称和价格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05" w:type="dxa"/>
            <w:vAlign w:val="center"/>
          </w:tcPr>
          <w:p>
            <w:pPr>
              <w:tabs>
                <w:tab w:val="left" w:leader="none" w:pos="780"/>
                <w:tab w:val="center" w:leader="none" w:pos="2437"/>
              </w:tabs>
              <w:spacing w:line="240" w:lineRule="exact"/>
              <w:ind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5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restart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结题验收信息</w:t>
            </w:r>
            <w:r>
              <w:rPr>
                <w:rFonts w:ascii="宋体" w:hAnsi="宋体" w:eastAsia="宋体"/>
                <w:color w:val="ff0000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 w:right="-106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获得的标志性成果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05" w:type="dxa"/>
            <w:vAlign w:val="center"/>
          </w:tcPr>
          <w:p>
            <w:pPr>
              <w:tabs>
                <w:tab w:val="center" w:leader="none" w:pos="3417"/>
                <w:tab w:val="left" w:leader="none" w:pos="4380"/>
              </w:tabs>
              <w:spacing w:line="240" w:lineRule="exact"/>
              <w:ind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  <w:t xml:space="preserve">带有双头刹车功能的电缆放线盘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7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 w:right="-106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经费结算情况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05" w:type="dxa"/>
            <w:vAlign w:val="center"/>
          </w:tcPr>
          <w:p>
            <w:pPr>
              <w:spacing w:line="240" w:lineRule="exact"/>
              <w:ind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44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 w:right="-106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验收时间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31" w:type="dxa"/>
            <w:vAlign w:val="center"/>
          </w:tcPr>
          <w:p>
            <w:pPr>
              <w:spacing w:line="240" w:lineRule="exact"/>
              <w:ind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  <w:lang w:val="zh-CN"/>
              </w:rPr>
              <w:t xml:space="preserve">2025.11.27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5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验收组织单位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99" w:type="dxa"/>
            <w:vAlign w:val="center"/>
          </w:tcPr>
          <w:p w14:paraId="1AE650A8">
            <w:pPr>
              <w:pStyle w:val="701"/>
              <w:spacing/>
              <w:ind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/>
            <w:r>
              <w:rPr>
                <w:rFonts w:ascii="宋体" w:hAnsi="宋体"/>
                <w:sz w:val="24"/>
                <w:szCs w:val="24"/>
              </w:rPr>
              <w:t xml:space="preserve">宁波意缆可电器有限公司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</w:r>
          </w:p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5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 w:right="-106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验收组成员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05" w:type="dxa"/>
            <w:vAlign w:val="center"/>
          </w:tcPr>
          <w:p>
            <w:pPr>
              <w:spacing w:line="240" w:lineRule="exact"/>
              <w:ind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  <w:lang w:val="zh-CN"/>
              </w:rPr>
              <w:t xml:space="preserve">孔</w:t>
            </w:r>
            <w:r>
              <w:rPr>
                <w:rFonts w:ascii="宋体" w:hAnsi="宋体" w:eastAsia="宋体"/>
                <w:sz w:val="21"/>
                <w:szCs w:val="21"/>
                <w:lang w:val="zh-CN"/>
              </w:rPr>
              <w:t xml:space="preserve">祥</w:t>
            </w:r>
            <w:r>
              <w:rPr>
                <w:rFonts w:ascii="宋体" w:hAnsi="宋体" w:eastAsia="宋体"/>
                <w:sz w:val="21"/>
                <w:szCs w:val="21"/>
                <w:lang w:val="zh-CN"/>
              </w:rPr>
              <w:t xml:space="preserve">阳</w:t>
            </w:r>
            <w:r>
              <w:rPr>
                <w:rFonts w:ascii="宋体" w:hAnsi="宋体" w:eastAsia="宋体"/>
                <w:sz w:val="21"/>
                <w:szCs w:val="21"/>
                <w:lang w:val="zh-CN"/>
              </w:rPr>
              <w:t xml:space="preserve">、</w:t>
            </w:r>
            <w:r>
              <w:rPr>
                <w:rFonts w:ascii="宋体" w:hAnsi="宋体" w:eastAsia="宋体"/>
                <w:sz w:val="21"/>
                <w:szCs w:val="21"/>
                <w:lang w:val="zh-CN"/>
              </w:rPr>
              <w:t xml:space="preserve">李</w:t>
            </w:r>
            <w:r>
              <w:rPr>
                <w:rFonts w:ascii="宋体" w:hAnsi="宋体" w:eastAsia="宋体"/>
                <w:sz w:val="21"/>
                <w:szCs w:val="21"/>
                <w:lang w:val="zh-CN"/>
              </w:rPr>
              <w:t xml:space="preserve">洪</w:t>
            </w:r>
            <w:r>
              <w:rPr>
                <w:rFonts w:ascii="宋体" w:hAnsi="宋体" w:eastAsia="宋体"/>
                <w:sz w:val="21"/>
                <w:szCs w:val="21"/>
                <w:lang w:val="zh-CN"/>
              </w:rPr>
              <w:t xml:space="preserve">伟</w:t>
            </w:r>
            <w:r>
              <w:rPr>
                <w:rFonts w:ascii="宋体" w:hAnsi="宋体" w:eastAsia="宋体"/>
                <w:sz w:val="21"/>
                <w:szCs w:val="21"/>
                <w:lang w:val="zh-CN"/>
              </w:rPr>
              <w:t xml:space="preserve">、</w:t>
            </w:r>
            <w:r>
              <w:rPr>
                <w:rFonts w:ascii="宋体" w:hAnsi="宋体" w:eastAsia="宋体"/>
                <w:sz w:val="21"/>
                <w:szCs w:val="21"/>
                <w:lang w:val="zh-CN"/>
              </w:rPr>
              <w:t xml:space="preserve">邹</w:t>
            </w:r>
            <w:r>
              <w:rPr>
                <w:rFonts w:ascii="宋体" w:hAnsi="宋体" w:eastAsia="宋体"/>
                <w:sz w:val="21"/>
                <w:szCs w:val="21"/>
                <w:lang w:val="zh-CN"/>
              </w:rPr>
              <w:t xml:space="preserve">昊</w:t>
            </w:r>
            <w:r>
              <w:rPr>
                <w:rFonts w:ascii="宋体" w:hAnsi="宋体" w:eastAsia="宋体"/>
                <w:sz w:val="21"/>
                <w:szCs w:val="21"/>
                <w:lang w:val="zh-CN"/>
              </w:rPr>
              <w:t xml:space="preserve">等</w:t>
            </w:r>
            <w:r>
              <w:rPr>
                <w:rFonts w:ascii="宋体" w:hAnsi="宋体" w:eastAsia="宋体"/>
                <w:sz w:val="21"/>
                <w:szCs w:val="21"/>
                <w:lang w:val="zh-CN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40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 w:right="-106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结题验收意见</w:t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05" w:type="dxa"/>
            <w:vAlign w:val="center"/>
          </w:tcPr>
          <w:p>
            <w:pPr>
              <w:spacing w:line="240" w:lineRule="exact"/>
              <w:ind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 xml:space="preserve">同意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验收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</w:tbl>
    <w:p>
      <w:pPr>
        <w:spacing w:after="190" w:afterLines="50"/>
        <w:ind/>
        <w:rPr>
          <w:rFonts w:ascii="仿宋_GB2312"/>
          <w:sz w:val="24"/>
        </w:rPr>
      </w:pPr>
      <w:r>
        <w:rPr>
          <w:rFonts w:hint="eastAsia" w:ascii="仿宋_GB2312"/>
          <w:sz w:val="24"/>
        </w:rPr>
        <w:t xml:space="preserve">注：涉及商业秘密的，委托单位、项目名称等敏感关键词用“*”替代。</w:t>
      </w:r>
      <w:r>
        <w:rPr>
          <w:rFonts w:ascii="仿宋_GB2312"/>
          <w:sz w:val="24"/>
        </w:rPr>
      </w:r>
    </w:p>
    <w:sectPr>
      <w:footnotePr/>
      <w:endnotePr/>
      <w:type w:val="nextPage"/>
      <w:pgSz w:h="16838" w:orient="portrait" w:w="11906"/>
      <w:pgMar w:top="1418" w:right="1418" w:bottom="1418" w:left="1418" w:header="851" w:footer="992" w:gutter="0"/>
      <w:cols w:num="1" w:sep="0" w:space="425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  <w:ind/>
        <w:rPr/>
      </w:pPr>
      <w:r>
        <w:separator/>
      </w:r>
      <w:r/>
    </w:p>
  </w:endnote>
  <w:endnote w:type="continuationSeparator" w:id="0">
    <w:p>
      <w:pPr>
        <w:spacing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方正小标宋简体">
    <w:panose1 w:val="020B0004020202020204"/>
  </w:font>
  <w:font w:name="宋体">
    <w:panose1 w:val="02010600030101010101"/>
  </w:font>
  <w:font w:name="华文中宋">
    <w:panose1 w:val="02010600040101010101"/>
  </w:font>
  <w:font w:name="仿宋_GB2312">
    <w:panose1 w:val="02010609060101010101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="240" w:lineRule="auto"/>
        <w:ind/>
        <w:rPr/>
      </w:pPr>
      <w:r>
        <w:separator/>
      </w:r>
      <w:r/>
    </w:p>
  </w:footnote>
  <w:footnote w:type="continuationSeparator" w:id="0">
    <w:p>
      <w:pPr>
        <w:spacing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4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doNotExpandShiftReturn w:val="true"/>
    <w:useFELayout w:val="true"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7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7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01"/>
    <w:next w:val="701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01"/>
    <w:next w:val="701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01"/>
    <w:next w:val="701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01"/>
    <w:next w:val="701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01"/>
    <w:next w:val="701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01"/>
    <w:next w:val="701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01"/>
    <w:next w:val="701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01"/>
    <w:next w:val="701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01"/>
    <w:next w:val="701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702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02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02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02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02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02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02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02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02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01"/>
    <w:next w:val="701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02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01"/>
    <w:next w:val="701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02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01"/>
    <w:next w:val="701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02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01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0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01"/>
    <w:next w:val="701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02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0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01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0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02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02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0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02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02"/>
    <w:link w:val="705"/>
    <w:uiPriority w:val="99"/>
    <w:pPr>
      <w:pBdr/>
      <w:spacing/>
      <w:ind/>
    </w:pPr>
  </w:style>
  <w:style w:type="character" w:styleId="179">
    <w:name w:val="Footer Char"/>
    <w:basedOn w:val="702"/>
    <w:link w:val="704"/>
    <w:uiPriority w:val="99"/>
    <w:pPr>
      <w:pBdr/>
      <w:spacing/>
      <w:ind/>
    </w:pPr>
  </w:style>
  <w:style w:type="paragraph" w:styleId="180">
    <w:name w:val="Caption"/>
    <w:basedOn w:val="701"/>
    <w:next w:val="70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01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02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02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01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02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02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70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70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01"/>
    <w:next w:val="701"/>
    <w:uiPriority w:val="39"/>
    <w:unhideWhenUsed/>
    <w:pPr>
      <w:pBdr/>
      <w:spacing w:after="100"/>
      <w:ind/>
    </w:pPr>
  </w:style>
  <w:style w:type="paragraph" w:styleId="190">
    <w:name w:val="toc 2"/>
    <w:basedOn w:val="701"/>
    <w:next w:val="701"/>
    <w:uiPriority w:val="39"/>
    <w:unhideWhenUsed/>
    <w:pPr>
      <w:pBdr/>
      <w:spacing w:after="100"/>
      <w:ind w:left="220"/>
    </w:pPr>
  </w:style>
  <w:style w:type="paragraph" w:styleId="191">
    <w:name w:val="toc 3"/>
    <w:basedOn w:val="701"/>
    <w:next w:val="701"/>
    <w:uiPriority w:val="39"/>
    <w:unhideWhenUsed/>
    <w:pPr>
      <w:pBdr/>
      <w:spacing w:after="100"/>
      <w:ind w:left="440"/>
    </w:pPr>
  </w:style>
  <w:style w:type="paragraph" w:styleId="192">
    <w:name w:val="toc 4"/>
    <w:basedOn w:val="701"/>
    <w:next w:val="701"/>
    <w:uiPriority w:val="39"/>
    <w:unhideWhenUsed/>
    <w:pPr>
      <w:pBdr/>
      <w:spacing w:after="100"/>
      <w:ind w:left="660"/>
    </w:pPr>
  </w:style>
  <w:style w:type="paragraph" w:styleId="193">
    <w:name w:val="toc 5"/>
    <w:basedOn w:val="701"/>
    <w:next w:val="701"/>
    <w:uiPriority w:val="39"/>
    <w:unhideWhenUsed/>
    <w:pPr>
      <w:pBdr/>
      <w:spacing w:after="100"/>
      <w:ind w:left="880"/>
    </w:pPr>
  </w:style>
  <w:style w:type="paragraph" w:styleId="194">
    <w:name w:val="toc 6"/>
    <w:basedOn w:val="701"/>
    <w:next w:val="701"/>
    <w:uiPriority w:val="39"/>
    <w:unhideWhenUsed/>
    <w:pPr>
      <w:pBdr/>
      <w:spacing w:after="100"/>
      <w:ind w:left="1100"/>
    </w:pPr>
  </w:style>
  <w:style w:type="paragraph" w:styleId="195">
    <w:name w:val="toc 7"/>
    <w:basedOn w:val="701"/>
    <w:next w:val="701"/>
    <w:uiPriority w:val="39"/>
    <w:unhideWhenUsed/>
    <w:pPr>
      <w:pBdr/>
      <w:spacing w:after="100"/>
      <w:ind w:left="1320"/>
    </w:pPr>
  </w:style>
  <w:style w:type="paragraph" w:styleId="196">
    <w:name w:val="toc 8"/>
    <w:basedOn w:val="701"/>
    <w:next w:val="701"/>
    <w:uiPriority w:val="39"/>
    <w:unhideWhenUsed/>
    <w:pPr>
      <w:pBdr/>
      <w:spacing w:after="100"/>
      <w:ind w:left="1540"/>
    </w:pPr>
  </w:style>
  <w:style w:type="paragraph" w:styleId="197">
    <w:name w:val="toc 9"/>
    <w:basedOn w:val="701"/>
    <w:next w:val="701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02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01"/>
    <w:next w:val="701"/>
    <w:uiPriority w:val="99"/>
    <w:unhideWhenUsed/>
    <w:pPr>
      <w:pBdr/>
      <w:spacing w:after="0" w:afterAutospacing="0"/>
      <w:ind/>
    </w:pPr>
  </w:style>
  <w:style w:type="paragraph" w:styleId="701" w:default="1">
    <w:name w:val="Normal"/>
    <w:uiPriority w:val="0"/>
    <w:qFormat/>
    <w:pPr>
      <w:widowControl w:val="false"/>
      <w:pBdr/>
      <w:spacing w:line="600" w:lineRule="exact"/>
      <w:ind/>
      <w:jc w:val="both"/>
    </w:pPr>
    <w:rPr>
      <w:rFonts w:ascii="Times New Roman" w:hAnsi="Times New Roman" w:eastAsia="仿宋_GB2312" w:cs="Times New Roman"/>
      <w:sz w:val="28"/>
      <w:szCs w:val="24"/>
      <w:lang w:val="en-US" w:eastAsia="zh-CN" w:bidi="ar-SA"/>
    </w:rPr>
  </w:style>
  <w:style w:type="character" w:styleId="702" w:default="1">
    <w:name w:val="Default Paragraph Font"/>
    <w:uiPriority w:val="1"/>
    <w:semiHidden/>
    <w:unhideWhenUsed/>
    <w:pPr>
      <w:pBdr/>
      <w:spacing/>
      <w:ind/>
    </w:pPr>
  </w:style>
  <w:style w:type="table" w:styleId="703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04">
    <w:name w:val="Footer"/>
    <w:basedOn w:val="701"/>
    <w:link w:val="707"/>
    <w:uiPriority w:val="99"/>
    <w:unhideWhenUsed/>
    <w:pPr>
      <w:pBdr/>
      <w:tabs>
        <w:tab w:val="center" w:leader="none" w:pos="4153"/>
        <w:tab w:val="right" w:leader="none" w:pos="8306"/>
      </w:tabs>
      <w:spacing w:line="240" w:lineRule="auto"/>
      <w:ind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05">
    <w:name w:val="Header"/>
    <w:basedOn w:val="701"/>
    <w:link w:val="706"/>
    <w:uiPriority w:val="99"/>
    <w:unhideWhenUsed/>
    <w:pPr>
      <w:pBdr>
        <w:bottom w:val="single" w:color="000000" w:sz="6" w:space="1"/>
      </w:pBdr>
      <w:tabs>
        <w:tab w:val="center" w:leader="none" w:pos="4153"/>
        <w:tab w:val="right" w:leader="none" w:pos="8306"/>
      </w:tabs>
      <w:spacing w:line="240" w:lineRule="auto"/>
      <w:ind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06" w:customStyle="1">
    <w:name w:val="页眉 字符"/>
    <w:basedOn w:val="702"/>
    <w:link w:val="705"/>
    <w:uiPriority w:val="99"/>
    <w:pPr>
      <w:pBdr/>
      <w:spacing/>
      <w:ind/>
    </w:pPr>
    <w:rPr>
      <w:sz w:val="18"/>
      <w:szCs w:val="18"/>
    </w:rPr>
  </w:style>
  <w:style w:type="character" w:styleId="707" w:customStyle="1">
    <w:name w:val="页脚 字符"/>
    <w:basedOn w:val="702"/>
    <w:link w:val="704"/>
    <w:uiPriority w:val="99"/>
    <w:pPr>
      <w:pBdr/>
      <w:spacing/>
      <w:ind/>
    </w:pPr>
    <w:rPr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ONLYOFFICE/10.0.0.169</Application>
  <DocSecurity>0</DocSecurity>
  <ScaleCrop>0</ScaleCrop>
  <HeadingPairs>
    <vt:vector size="0" baseType="variant"/>
  </HeadingPairs>
  <TitlesOfParts>
    <vt:vector size="0" baseType="lpstr"/>
  </TitlesOfParts>
  <Company>Lenovo (Beijing) Limited</Company>
  <LinksUpToDate>0</LinksUpToD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revision>7</cp:revision>
  <dcterms:created xsi:type="dcterms:W3CDTF">2018-12-21T01:27:00Z</dcterms:created>
  <dcterms:modified xsi:type="dcterms:W3CDTF">2026-10-19T11:20:28Z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46F66A2216AC4351A69BBCB1FE5C9F84_12</vt:lpwstr>
  </property>
</Properties>
</file>